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AC" w:rsidRPr="005E76AC" w:rsidRDefault="005E76AC" w:rsidP="005E76AC">
      <w:pPr>
        <w:spacing w:after="120"/>
        <w:jc w:val="center"/>
        <w:rPr>
          <w:rFonts w:asciiTheme="minorBidi" w:eastAsia="Times New Roman" w:hAnsiTheme="minorBidi"/>
          <w:b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WRITTEN RESOLUTION OF THE SHAREHOLDER(S) IN</w:t>
      </w:r>
    </w:p>
    <w:p w:rsidR="005E76AC" w:rsidRPr="005E76AC" w:rsidRDefault="005E76AC" w:rsidP="005E76AC">
      <w:pPr>
        <w:spacing w:after="120"/>
        <w:jc w:val="center"/>
        <w:rPr>
          <w:rFonts w:asciiTheme="minorBidi" w:eastAsia="Times New Roman" w:hAnsiTheme="minorBidi"/>
          <w:b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[</w:t>
      </w:r>
      <w:proofErr w:type="gramStart"/>
      <w:r w:rsidRPr="005E76AC">
        <w:rPr>
          <w:rFonts w:asciiTheme="minorBidi" w:eastAsia="Times New Roman" w:hAnsiTheme="minorBidi"/>
          <w:b/>
          <w:bCs/>
          <w:i/>
          <w:iCs/>
          <w:sz w:val="22"/>
          <w:szCs w:val="24"/>
          <w:lang w:val="en-US"/>
        </w:rPr>
        <w:t>insert</w:t>
      </w:r>
      <w:proofErr w:type="gramEnd"/>
      <w:r w:rsidRPr="005E76AC">
        <w:rPr>
          <w:rFonts w:asciiTheme="minorBidi" w:eastAsia="Times New Roman" w:hAnsiTheme="minorBidi"/>
          <w:b/>
          <w:bCs/>
          <w:i/>
          <w:iCs/>
          <w:sz w:val="22"/>
          <w:szCs w:val="24"/>
          <w:lang w:val="en-US"/>
        </w:rPr>
        <w:t xml:space="preserve"> name of offshore company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]</w:t>
      </w:r>
    </w:p>
    <w:p w:rsidR="005E76AC" w:rsidRPr="005E76AC" w:rsidRDefault="005E76AC" w:rsidP="005E76AC">
      <w:pPr>
        <w:spacing w:after="120"/>
        <w:jc w:val="center"/>
        <w:rPr>
          <w:rFonts w:asciiTheme="minorBidi" w:eastAsia="Times New Roman" w:hAnsiTheme="minorBidi"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>Jebel Ali Free Zone Registration Number: [</w:t>
      </w:r>
      <w:r w:rsidRPr="005E76AC">
        <w:rPr>
          <w:rFonts w:asciiTheme="minorBidi" w:eastAsia="Times New Roman" w:hAnsiTheme="minorBidi"/>
          <w:i/>
          <w:iCs/>
          <w:sz w:val="22"/>
          <w:szCs w:val="24"/>
          <w:lang w:val="en-US"/>
        </w:rPr>
        <w:t>insert the Registration number of the offshore company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]  </w:t>
      </w:r>
    </w:p>
    <w:p w:rsidR="005E76AC" w:rsidRPr="005E76AC" w:rsidRDefault="005E76AC" w:rsidP="005E76AC">
      <w:pPr>
        <w:spacing w:after="120"/>
        <w:jc w:val="center"/>
        <w:rPr>
          <w:rFonts w:asciiTheme="minorBidi" w:eastAsia="Times New Roman" w:hAnsiTheme="minorBidi"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>(</w:t>
      </w:r>
      <w:proofErr w:type="gramStart"/>
      <w:r w:rsidRPr="005E76AC">
        <w:rPr>
          <w:rFonts w:asciiTheme="minorBidi" w:eastAsia="Times New Roman" w:hAnsiTheme="minorBidi"/>
          <w:sz w:val="22"/>
          <w:szCs w:val="24"/>
          <w:lang w:val="en-US"/>
        </w:rPr>
        <w:t>the</w:t>
      </w:r>
      <w:proofErr w:type="gramEnd"/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 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Company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)</w:t>
      </w:r>
    </w:p>
    <w:p w:rsidR="005E76AC" w:rsidRPr="005E76AC" w:rsidRDefault="005E76AC" w:rsidP="000551AB">
      <w:pPr>
        <w:spacing w:after="120"/>
        <w:jc w:val="both"/>
        <w:rPr>
          <w:rFonts w:asciiTheme="minorBidi" w:eastAsia="Times New Roman" w:hAnsiTheme="minorBidi"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>The undersigned, being the shareholder</w:t>
      </w:r>
      <w:r w:rsidR="004E1A50">
        <w:rPr>
          <w:rFonts w:asciiTheme="minorBidi" w:eastAsia="Times New Roman" w:hAnsiTheme="minorBidi"/>
          <w:bCs/>
          <w:sz w:val="22"/>
          <w:szCs w:val="24"/>
          <w:lang w:val="en-US"/>
        </w:rPr>
        <w:t>(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>s</w:t>
      </w:r>
      <w:r w:rsidR="004E1A50">
        <w:rPr>
          <w:rFonts w:asciiTheme="minorBidi" w:eastAsia="Times New Roman" w:hAnsiTheme="minorBidi"/>
          <w:bCs/>
          <w:sz w:val="22"/>
          <w:szCs w:val="24"/>
          <w:lang w:val="en-US"/>
        </w:rPr>
        <w:t>)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 (</w:t>
      </w:r>
      <w:r w:rsidRPr="005E76AC">
        <w:rPr>
          <w:rFonts w:asciiTheme="minorBidi" w:eastAsia="Times New Roman" w:hAnsiTheme="minorBidi"/>
          <w:b/>
          <w:sz w:val="22"/>
          <w:szCs w:val="24"/>
          <w:lang w:val="en-US"/>
        </w:rPr>
        <w:t>Shareholders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) in the Company on the date on which this written resolution is passed, who represent, resolve,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that:</w:t>
      </w:r>
    </w:p>
    <w:p w:rsidR="005E76AC" w:rsidRPr="005E76AC" w:rsidRDefault="005E76AC" w:rsidP="00184BD7">
      <w:pPr>
        <w:numPr>
          <w:ilvl w:val="0"/>
          <w:numId w:val="22"/>
        </w:numPr>
        <w:spacing w:after="180"/>
        <w:jc w:val="both"/>
        <w:rPr>
          <w:rFonts w:asciiTheme="minorBidi" w:eastAsia="Times New Roman" w:hAnsiTheme="minorBidi"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the </w:t>
      </w:r>
      <w:r>
        <w:rPr>
          <w:rFonts w:asciiTheme="minorBidi" w:eastAsia="Times New Roman" w:hAnsiTheme="minorBidi"/>
          <w:sz w:val="22"/>
          <w:szCs w:val="24"/>
          <w:lang w:val="en-US"/>
        </w:rPr>
        <w:t>address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 of the Company be changed to [</w:t>
      </w:r>
      <w:r w:rsidRPr="005E76AC">
        <w:rPr>
          <w:rFonts w:asciiTheme="minorBidi" w:eastAsia="Times New Roman" w:hAnsiTheme="minorBidi"/>
          <w:i/>
          <w:iCs/>
          <w:sz w:val="22"/>
          <w:szCs w:val="24"/>
          <w:lang w:val="en-US"/>
        </w:rPr>
        <w:t xml:space="preserve">insert new </w:t>
      </w:r>
      <w:r>
        <w:rPr>
          <w:rFonts w:asciiTheme="minorBidi" w:eastAsia="Times New Roman" w:hAnsiTheme="minorBidi"/>
          <w:i/>
          <w:iCs/>
          <w:sz w:val="22"/>
          <w:szCs w:val="24"/>
          <w:lang w:val="en-US"/>
        </w:rPr>
        <w:t>address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] (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 xml:space="preserve">Change of </w:t>
      </w:r>
      <w:r>
        <w:rPr>
          <w:rFonts w:asciiTheme="minorBidi" w:eastAsia="Times New Roman" w:hAnsiTheme="minorBidi"/>
          <w:b/>
          <w:bCs/>
          <w:sz w:val="22"/>
          <w:szCs w:val="24"/>
          <w:lang w:val="en-US"/>
        </w:rPr>
        <w:t>Address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) with effect from the date on which </w:t>
      </w:r>
      <w:r>
        <w:rPr>
          <w:rFonts w:asciiTheme="minorBidi" w:eastAsia="Times New Roman" w:hAnsiTheme="minorBidi"/>
          <w:sz w:val="22"/>
          <w:szCs w:val="24"/>
          <w:lang w:val="en-US"/>
        </w:rPr>
        <w:t xml:space="preserve">the new address is registered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by the 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>Registrar of Companies (</w:t>
      </w:r>
      <w:r w:rsidRPr="005E76AC">
        <w:rPr>
          <w:rFonts w:asciiTheme="minorBidi" w:eastAsia="Times New Roman" w:hAnsiTheme="minorBidi"/>
          <w:b/>
          <w:sz w:val="22"/>
          <w:szCs w:val="24"/>
          <w:lang w:val="en-US"/>
        </w:rPr>
        <w:t>Registrar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) of the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Jebel Ali Free Zone (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Free Zone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)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 pursuant to the Jebel Ali Free Zone Offshore Companies Regulations </w:t>
      </w:r>
      <w:r w:rsidR="00184BD7">
        <w:rPr>
          <w:rFonts w:asciiTheme="minorBidi" w:eastAsia="Times New Roman" w:hAnsiTheme="minorBidi"/>
          <w:bCs/>
          <w:sz w:val="22"/>
          <w:szCs w:val="24"/>
          <w:lang w:val="en-US"/>
        </w:rPr>
        <w:t>2018</w:t>
      </w:r>
      <w:bookmarkStart w:id="0" w:name="_GoBack"/>
      <w:bookmarkEnd w:id="0"/>
      <w:r w:rsidRPr="005E76AC">
        <w:rPr>
          <w:rFonts w:asciiTheme="minorBidi" w:eastAsia="Times New Roman" w:hAnsiTheme="minorBidi"/>
          <w:sz w:val="22"/>
          <w:szCs w:val="24"/>
          <w:lang w:val="en-US"/>
        </w:rPr>
        <w:t>; and</w:t>
      </w:r>
      <w:bookmarkStart w:id="1" w:name="a209050"/>
      <w:bookmarkEnd w:id="1"/>
    </w:p>
    <w:p w:rsidR="005E76AC" w:rsidRPr="005E76AC" w:rsidRDefault="005E76AC" w:rsidP="005E76AC">
      <w:pPr>
        <w:spacing w:after="120"/>
        <w:ind w:left="780"/>
        <w:jc w:val="both"/>
        <w:rPr>
          <w:rFonts w:asciiTheme="minorBidi" w:hAnsiTheme="minorBidi"/>
          <w:bCs/>
          <w:sz w:val="22"/>
          <w:szCs w:val="24"/>
          <w:lang w:val="en-US"/>
        </w:rPr>
      </w:pP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5E76AC" w:rsidRPr="005E76AC" w:rsidTr="005D1F42">
        <w:tc>
          <w:tcPr>
            <w:tcW w:w="3510" w:type="dxa"/>
            <w:hideMark/>
          </w:tcPr>
          <w:p w:rsidR="005E76AC" w:rsidRPr="005E76AC" w:rsidRDefault="005E76AC" w:rsidP="005E76AC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Signed by [</w:t>
            </w: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in the case of a Shareholder who is an individual, the full name of the Shareholder as set out in his/her passport</w:t>
            </w:r>
            <w:r w:rsidRPr="005E76AC">
              <w:rPr>
                <w:rFonts w:asciiTheme="minorBidi" w:hAnsi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5E76AC" w:rsidRPr="005E76AC" w:rsidTr="005D1F42">
        <w:tc>
          <w:tcPr>
            <w:tcW w:w="3510" w:type="dxa"/>
            <w:hideMark/>
          </w:tcPr>
          <w:p w:rsidR="005E76AC" w:rsidRPr="005E76AC" w:rsidRDefault="005E76AC" w:rsidP="005E76AC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Date:</w:t>
            </w:r>
            <w:r w:rsidRPr="005E76AC">
              <w:rPr>
                <w:rFonts w:asciiTheme="minorBidi" w:hAnsi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5E76AC" w:rsidRPr="005E76AC" w:rsidTr="005D1F42">
        <w:tc>
          <w:tcPr>
            <w:tcW w:w="3510" w:type="dxa"/>
            <w:hideMark/>
          </w:tcPr>
          <w:p w:rsidR="005E76AC" w:rsidRPr="005E76AC" w:rsidRDefault="005E76AC" w:rsidP="005E76AC">
            <w:pPr>
              <w:spacing w:after="180"/>
              <w:jc w:val="both"/>
              <w:rPr>
                <w:rFonts w:asciiTheme="minorBidi" w:hAnsiTheme="minorBidi"/>
                <w:bCs/>
                <w:i/>
                <w:iCs/>
                <w:lang w:eastAsia="en-GB"/>
              </w:rPr>
            </w:pP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[OR]</w:t>
            </w:r>
          </w:p>
        </w:tc>
        <w:tc>
          <w:tcPr>
            <w:tcW w:w="4253" w:type="dxa"/>
          </w:tcPr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</w:tc>
      </w:tr>
      <w:tr w:rsidR="005E76AC" w:rsidRPr="005E76AC" w:rsidTr="005D1F42">
        <w:tc>
          <w:tcPr>
            <w:tcW w:w="3510" w:type="dxa"/>
            <w:hideMark/>
          </w:tcPr>
          <w:p w:rsidR="005E76AC" w:rsidRPr="005E76AC" w:rsidRDefault="005E76AC" w:rsidP="005E76AC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Signed by [</w:t>
            </w: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in the case of a corporate Shareholder, the full name of the authorised representative of that corporate Shareholder as set out in his/her passport</w:t>
            </w:r>
            <w:r w:rsidRPr="005E76AC">
              <w:rPr>
                <w:rFonts w:asciiTheme="minorBidi" w:hAnsiTheme="minorBidi"/>
                <w:bCs/>
                <w:lang w:eastAsia="en-GB"/>
              </w:rPr>
              <w:t>] duly authorised for and on behalf of [</w:t>
            </w: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full name of the corporate Shareholder</w:t>
            </w:r>
            <w:r w:rsidRPr="005E76AC">
              <w:rPr>
                <w:rFonts w:asciiTheme="minorBidi" w:hAnsi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5E76AC" w:rsidRPr="005E76AC" w:rsidTr="005D1F42">
        <w:tc>
          <w:tcPr>
            <w:tcW w:w="3510" w:type="dxa"/>
            <w:hideMark/>
          </w:tcPr>
          <w:p w:rsidR="005E76AC" w:rsidRPr="005E76AC" w:rsidRDefault="005E76AC" w:rsidP="005E76AC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Date:</w:t>
            </w:r>
            <w:r w:rsidRPr="005E76AC">
              <w:rPr>
                <w:rFonts w:asciiTheme="minorBidi" w:hAnsiTheme="minorBidi"/>
                <w:bCs/>
                <w:lang w:eastAsia="en-GB"/>
              </w:rPr>
              <w:tab/>
            </w:r>
            <w:r w:rsidRPr="005E76AC">
              <w:rPr>
                <w:rFonts w:asciiTheme="minorBidi" w:hAnsi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5E76AC" w:rsidRPr="005E76AC" w:rsidRDefault="005E76AC" w:rsidP="005E76AC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</w:tbl>
    <w:p w:rsidR="005E76AC" w:rsidRPr="005E76AC" w:rsidRDefault="005E76AC" w:rsidP="005E76AC">
      <w:pPr>
        <w:spacing w:after="120"/>
        <w:jc w:val="both"/>
        <w:rPr>
          <w:rFonts w:asciiTheme="minorBidi" w:eastAsia="Times New Roman" w:hAnsiTheme="minorBidi"/>
          <w:i/>
          <w:iCs/>
          <w:sz w:val="22"/>
          <w:lang w:val="en-US"/>
        </w:rPr>
      </w:pPr>
    </w:p>
    <w:p w:rsidR="005E76AC" w:rsidRPr="005E76AC" w:rsidRDefault="005E76AC" w:rsidP="005E76AC">
      <w:pPr>
        <w:spacing w:after="0"/>
        <w:jc w:val="both"/>
        <w:rPr>
          <w:rFonts w:asciiTheme="minorBidi" w:hAnsiTheme="minorBidi"/>
          <w:sz w:val="22"/>
          <w:lang w:val="en-US"/>
        </w:rPr>
      </w:pPr>
    </w:p>
    <w:p w:rsidR="001B7A24" w:rsidRPr="005E76AC" w:rsidRDefault="001B7A24">
      <w:pPr>
        <w:rPr>
          <w:lang w:val="en-US"/>
        </w:rPr>
      </w:pPr>
    </w:p>
    <w:sectPr w:rsidR="001B7A24" w:rsidRPr="005E76AC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77B"/>
    <w:multiLevelType w:val="hybridMultilevel"/>
    <w:tmpl w:val="F21CB00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3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5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"/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AC"/>
    <w:rsid w:val="000551AB"/>
    <w:rsid w:val="00184BD7"/>
    <w:rsid w:val="001B7A24"/>
    <w:rsid w:val="001D67EE"/>
    <w:rsid w:val="004E1A50"/>
    <w:rsid w:val="005E76AC"/>
    <w:rsid w:val="006B441E"/>
    <w:rsid w:val="00797F34"/>
    <w:rsid w:val="00900792"/>
    <w:rsid w:val="00991EE2"/>
    <w:rsid w:val="00A05A4B"/>
    <w:rsid w:val="00A3125C"/>
    <w:rsid w:val="00A53BA3"/>
    <w:rsid w:val="00BB332B"/>
    <w:rsid w:val="00BB6532"/>
    <w:rsid w:val="00C27DB0"/>
    <w:rsid w:val="00E44707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97896-4750-45D5-B806-A1220774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  <w:jc w:val="both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jc w:val="both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jc w:val="both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jc w:val="both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  <w:jc w:val="both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jc w:val="both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  <w:jc w:val="both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jc w:val="both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  <w:jc w:val="both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jc w:val="both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  <w:jc w:val="both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jc w:val="both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jc w:val="both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jc w:val="both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jc w:val="both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jc w:val="both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  <w:jc w:val="both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jc w:val="both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  <w:jc w:val="both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jc w:val="both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jc w:val="both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jc w:val="both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  <w:jc w:val="both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jc w:val="both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  <w:jc w:val="both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jc w:val="both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  <w:jc w:val="both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jc w:val="both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  <w:jc w:val="both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jc w:val="both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jc w:val="both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after="0"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after="0"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after="0" w:line="360" w:lineRule="auto"/>
      <w:ind w:left="1080"/>
    </w:pPr>
    <w:rPr>
      <w:rFonts w:eastAsia="Times New Roman" w:cs="Times New Roman"/>
      <w:szCs w:val="24"/>
      <w:lang w:val="en-US"/>
    </w:rPr>
  </w:style>
  <w:style w:type="table" w:customStyle="1" w:styleId="TableGrid3">
    <w:name w:val="Table Grid3"/>
    <w:basedOn w:val="TableNormal"/>
    <w:rsid w:val="005E76AC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Fawzia Abdalla</cp:lastModifiedBy>
  <cp:revision>3</cp:revision>
  <dcterms:created xsi:type="dcterms:W3CDTF">2017-12-07T07:05:00Z</dcterms:created>
  <dcterms:modified xsi:type="dcterms:W3CDTF">2018-07-12T07:03:00Z</dcterms:modified>
</cp:coreProperties>
</file>